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6A5DC9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 xml:space="preserve">Проект </w:t>
      </w:r>
    </w:p>
    <w:p w:rsidR="00AF3136" w:rsidRPr="006A5DC9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6A5DC9">
        <w:rPr>
          <w:rFonts w:ascii="Times New Roman" w:hAnsi="Times New Roman"/>
          <w:sz w:val="28"/>
          <w:szCs w:val="28"/>
        </w:rPr>
        <w:t xml:space="preserve"> программы </w:t>
      </w:r>
    </w:p>
    <w:p w:rsidR="008C49B1" w:rsidRPr="006A5DC9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«</w:t>
      </w:r>
      <w:r w:rsidR="00E42A59" w:rsidRPr="00B41C35">
        <w:rPr>
          <w:rFonts w:ascii="Times New Roman" w:hAnsi="Times New Roman"/>
          <w:sz w:val="28"/>
        </w:rPr>
        <w:t>Управление муниципальными финансами и муниципальным долгом города Ставрополя</w:t>
      </w:r>
      <w:r w:rsidRPr="006A5DC9">
        <w:rPr>
          <w:rFonts w:ascii="Times New Roman" w:hAnsi="Times New Roman"/>
          <w:sz w:val="28"/>
          <w:szCs w:val="28"/>
        </w:rPr>
        <w:t>»</w:t>
      </w:r>
    </w:p>
    <w:p w:rsidR="00CA3476" w:rsidRPr="006A5DC9" w:rsidRDefault="00CA347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6A5DC9" w:rsidTr="000C34E3">
        <w:tc>
          <w:tcPr>
            <w:tcW w:w="7393" w:type="dxa"/>
            <w:vAlign w:val="center"/>
          </w:tcPr>
          <w:p w:rsidR="007C52ED" w:rsidRPr="006A5DC9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6A5DC9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C52ED" w:rsidRPr="006A5DC9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6A5DC9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6A5DC9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6A5DC9" w:rsidRDefault="000C34E3" w:rsidP="000C34E3">
      <w:pPr>
        <w:spacing w:after="0" w:line="14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6A5DC9" w:rsidTr="000C34E3">
        <w:trPr>
          <w:tblHeader/>
        </w:trPr>
        <w:tc>
          <w:tcPr>
            <w:tcW w:w="7393" w:type="dxa"/>
            <w:vAlign w:val="center"/>
          </w:tcPr>
          <w:p w:rsidR="00CA3476" w:rsidRPr="006A5DC9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CA3476" w:rsidRPr="006A5DC9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6A5DC9" w:rsidTr="007D4A6B">
        <w:trPr>
          <w:trHeight w:val="356"/>
        </w:trPr>
        <w:tc>
          <w:tcPr>
            <w:tcW w:w="14786" w:type="dxa"/>
            <w:gridSpan w:val="2"/>
          </w:tcPr>
          <w:p w:rsidR="00CA3476" w:rsidRPr="006A5DC9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Наименование </w:t>
            </w:r>
            <w:r w:rsidR="00980D5F" w:rsidRPr="006A5DC9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2C680A" w:rsidRPr="006A5DC9" w:rsidTr="007D4A6B"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74DA">
              <w:rPr>
                <w:rFonts w:ascii="Times New Roman" w:hAnsi="Times New Roman"/>
                <w:sz w:val="28"/>
                <w:szCs w:val="28"/>
              </w:rPr>
              <w:t>«Управление муниципальными финансами и муниципальным долгом города Ставрополя» (далее – Программа)</w:t>
            </w:r>
          </w:p>
        </w:tc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74DA">
              <w:rPr>
                <w:rFonts w:ascii="Times New Roman" w:hAnsi="Times New Roman"/>
                <w:sz w:val="28"/>
                <w:szCs w:val="28"/>
              </w:rPr>
              <w:t>«Управление муниципальными финансами и муниципальным долгом города Ставрополя» (далее – Программа)</w:t>
            </w:r>
          </w:p>
        </w:tc>
      </w:tr>
      <w:tr w:rsidR="00CA3476" w:rsidRPr="006A5DC9" w:rsidTr="007D4A6B">
        <w:tc>
          <w:tcPr>
            <w:tcW w:w="14786" w:type="dxa"/>
            <w:gridSpan w:val="2"/>
          </w:tcPr>
          <w:p w:rsidR="00CA3476" w:rsidRPr="006A5DC9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2C680A" w:rsidRPr="006A5DC9" w:rsidTr="007D4A6B"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F0C64">
              <w:rPr>
                <w:rFonts w:ascii="Times New Roman" w:hAnsi="Times New Roman"/>
                <w:sz w:val="28"/>
                <w:szCs w:val="28"/>
              </w:rPr>
              <w:t>комитет финансов и бюджета администрации города Ставрополя (далее – комитет финансов и бюджета)</w:t>
            </w:r>
          </w:p>
        </w:tc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F0C64">
              <w:rPr>
                <w:rFonts w:ascii="Times New Roman" w:hAnsi="Times New Roman"/>
                <w:sz w:val="28"/>
                <w:szCs w:val="28"/>
              </w:rPr>
              <w:t>комитет финансов и бюджета администрации города Ставрополя (далее – комитет финансов и бюджета)</w:t>
            </w:r>
          </w:p>
        </w:tc>
      </w:tr>
      <w:tr w:rsidR="00CA3476" w:rsidRPr="006A5DC9" w:rsidTr="007D4A6B">
        <w:tc>
          <w:tcPr>
            <w:tcW w:w="14786" w:type="dxa"/>
            <w:gridSpan w:val="2"/>
          </w:tcPr>
          <w:p w:rsidR="00CA3476" w:rsidRPr="006A5DC9" w:rsidRDefault="00CA3476" w:rsidP="00BA4622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Соисполнители Программы</w:t>
            </w:r>
          </w:p>
        </w:tc>
      </w:tr>
      <w:tr w:rsidR="002C680A" w:rsidRPr="006A5DC9" w:rsidTr="007D4A6B"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B4E03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B4E03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995BE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Участники Программы</w:t>
            </w:r>
          </w:p>
        </w:tc>
      </w:tr>
      <w:tr w:rsidR="002C680A" w:rsidRPr="006A5DC9" w:rsidTr="000A2A98"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F17D2">
              <w:rPr>
                <w:rFonts w:ascii="Times New Roman" w:hAnsi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F17D2">
              <w:rPr>
                <w:rFonts w:ascii="Times New Roman" w:hAnsi="Times New Roman"/>
                <w:sz w:val="28"/>
                <w:szCs w:val="28"/>
              </w:rPr>
              <w:t xml:space="preserve">нет </w:t>
            </w:r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2C680A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Цел</w:t>
            </w:r>
            <w:r w:rsidR="002C680A">
              <w:rPr>
                <w:sz w:val="28"/>
                <w:szCs w:val="28"/>
              </w:rPr>
              <w:t>ь</w:t>
            </w:r>
            <w:r w:rsidRPr="006A5DC9">
              <w:rPr>
                <w:sz w:val="28"/>
                <w:szCs w:val="28"/>
              </w:rPr>
              <w:t xml:space="preserve"> Программы</w:t>
            </w:r>
          </w:p>
        </w:tc>
      </w:tr>
      <w:tr w:rsidR="002C680A" w:rsidRPr="006A5DC9" w:rsidTr="002652A0"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C4BC0">
              <w:rPr>
                <w:rFonts w:ascii="Times New Roman" w:hAnsi="Times New Roman"/>
                <w:sz w:val="28"/>
                <w:szCs w:val="28"/>
              </w:rPr>
              <w:t>обеспечение долгосрочной сбалансированности и устойчивости бюджета города Ставрополя (далее – бюджет города), повышение качества управления муниципальными финансами</w:t>
            </w:r>
          </w:p>
        </w:tc>
        <w:tc>
          <w:tcPr>
            <w:tcW w:w="7393" w:type="dxa"/>
          </w:tcPr>
          <w:p w:rsidR="002C680A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C4BC0">
              <w:rPr>
                <w:rFonts w:ascii="Times New Roman" w:hAnsi="Times New Roman"/>
                <w:sz w:val="28"/>
                <w:szCs w:val="28"/>
              </w:rPr>
              <w:t>обеспечение долгосрочной сбалансированности и устойчивости бюджета города Ставрополя (далее – бюджет города), повышение качества управления муниципальными финансами</w:t>
            </w:r>
          </w:p>
        </w:tc>
      </w:tr>
      <w:tr w:rsidR="002C680A" w:rsidRPr="006A5DC9" w:rsidTr="002259DA">
        <w:tc>
          <w:tcPr>
            <w:tcW w:w="14786" w:type="dxa"/>
            <w:gridSpan w:val="2"/>
          </w:tcPr>
          <w:p w:rsidR="002C680A" w:rsidRPr="007C4BC0" w:rsidRDefault="002C680A" w:rsidP="00995BE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B41C35">
              <w:rPr>
                <w:sz w:val="28"/>
                <w:szCs w:val="28"/>
              </w:rPr>
              <w:t>Показатели (индикаторы) достижения цели Программы</w:t>
            </w:r>
          </w:p>
        </w:tc>
      </w:tr>
      <w:tr w:rsidR="002C680A" w:rsidRPr="006A5DC9" w:rsidTr="002652A0">
        <w:tc>
          <w:tcPr>
            <w:tcW w:w="7393" w:type="dxa"/>
          </w:tcPr>
          <w:p w:rsidR="002C680A" w:rsidRPr="00B41C35" w:rsidRDefault="002C680A" w:rsidP="002C680A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темп роста налоговых и неналоговых доходов бюджета города (в сопоставимых условиях) к предыдущему году;</w:t>
            </w:r>
          </w:p>
          <w:p w:rsidR="002C680A" w:rsidRPr="00B41C35" w:rsidRDefault="002C680A" w:rsidP="002C680A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коэффициент покрытия расходов бюджета города собственными средствами без привлечения заемных </w:t>
            </w: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средств;</w:t>
            </w:r>
          </w:p>
          <w:p w:rsidR="002C680A" w:rsidRPr="00B41C35" w:rsidRDefault="002C680A" w:rsidP="002C680A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оценка долговой устойчивости города Ставрополя;</w:t>
            </w:r>
          </w:p>
          <w:p w:rsidR="002C680A" w:rsidRPr="00B41C35" w:rsidRDefault="002C680A" w:rsidP="002C680A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рейтинг города  Ставрополя по качеству управления муниципальными финансами;</w:t>
            </w:r>
          </w:p>
          <w:p w:rsidR="002C680A" w:rsidRPr="007C4BC0" w:rsidRDefault="002C680A" w:rsidP="00A7270F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доля просроченной кредиторской задолженности в общем объеме расходов бюджета города</w:t>
            </w:r>
          </w:p>
        </w:tc>
        <w:tc>
          <w:tcPr>
            <w:tcW w:w="7393" w:type="dxa"/>
          </w:tcPr>
          <w:p w:rsidR="002C680A" w:rsidRPr="00B41C35" w:rsidRDefault="002C680A" w:rsidP="002C680A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темп роста налоговых и неналоговых доходов бюджета города (в сопоставимых условиях) к предыдущему году;</w:t>
            </w:r>
          </w:p>
          <w:p w:rsidR="002C680A" w:rsidRPr="00B41C35" w:rsidRDefault="002C680A" w:rsidP="002C680A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коэффициент покрытия расходов бюджета города собственными средствами без привлечения заемных </w:t>
            </w: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средств;</w:t>
            </w:r>
          </w:p>
          <w:p w:rsidR="002C680A" w:rsidRPr="00B41C35" w:rsidRDefault="002C680A" w:rsidP="002C680A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оценка долговой устойчивости города Ставрополя;</w:t>
            </w:r>
          </w:p>
          <w:p w:rsidR="002C680A" w:rsidRPr="00B41C35" w:rsidRDefault="002C680A" w:rsidP="002C680A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рейтинг города  Ставрополя по качеству управления муниципальными финансами;</w:t>
            </w:r>
          </w:p>
          <w:p w:rsidR="002C680A" w:rsidRPr="007C4BC0" w:rsidRDefault="002C680A" w:rsidP="00A7270F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доля просроченной кредиторской задолженности в общем объеме расходов бюджета города</w:t>
            </w:r>
          </w:p>
        </w:tc>
      </w:tr>
      <w:tr w:rsidR="002C680A" w:rsidRPr="006A5DC9" w:rsidTr="002D6380">
        <w:tc>
          <w:tcPr>
            <w:tcW w:w="14786" w:type="dxa"/>
            <w:gridSpan w:val="2"/>
          </w:tcPr>
          <w:p w:rsidR="002C680A" w:rsidRPr="007C4BC0" w:rsidRDefault="00995BE0" w:rsidP="00995BE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995BE0">
              <w:rPr>
                <w:sz w:val="28"/>
                <w:szCs w:val="28"/>
              </w:rPr>
              <w:lastRenderedPageBreak/>
              <w:t>Задачи Программы</w:t>
            </w:r>
          </w:p>
        </w:tc>
      </w:tr>
      <w:tr w:rsidR="002C680A" w:rsidRPr="006A5DC9" w:rsidTr="002652A0">
        <w:tc>
          <w:tcPr>
            <w:tcW w:w="7393" w:type="dxa"/>
          </w:tcPr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обеспечение долгосрочной сбалансированности и устойчивости бюджета города за счет координации стратегического и бюджетного планирования;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совершенствование налоговой политики в части полномочий органов местного самоуправления и увеличение доходной базы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совершенствование бюджетной политики и повышение эффективности использования бюджетных средств;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проведение взвешенной долговой политики города Ставрополя;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совершенствование внутреннего муниципального финансового контроля;</w:t>
            </w:r>
          </w:p>
          <w:p w:rsidR="00995BE0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обеспечение прозрачности и открытости бюджета города и бюджетного процесса для граждан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C680A" w:rsidRPr="007C4BC0" w:rsidRDefault="00995BE0" w:rsidP="00A7270F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12D86">
              <w:rPr>
                <w:rFonts w:ascii="Times New Roman" w:hAnsi="Times New Roman"/>
                <w:sz w:val="28"/>
                <w:szCs w:val="28"/>
              </w:rPr>
              <w:t>рациональное управление средствами бюджета городского округа, повышение эффективности бюджетных расходов и повышение качества планирования бюджета</w:t>
            </w:r>
          </w:p>
        </w:tc>
        <w:tc>
          <w:tcPr>
            <w:tcW w:w="7393" w:type="dxa"/>
          </w:tcPr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обеспечение долгосрочной сбалансированности и устойчивости бюджета города за счет координации стратегического и бюджетного планирования;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совершенствование налоговой политики в части полномочий органов местного самоуправления и увеличение доходной базы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совершенствование бюджетной политики и повышение эффективности использования бюджетных средств;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проведение взвешенной долговой политики города Ставрополя;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совершенствование внутреннего муниципального финансового контроля;</w:t>
            </w:r>
          </w:p>
          <w:p w:rsidR="00995BE0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обеспечение прозрачности и открытости бюджета города и бюджетного процесса для граждан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C680A" w:rsidRPr="007C4BC0" w:rsidRDefault="00995BE0" w:rsidP="00A7270F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12D86">
              <w:rPr>
                <w:rFonts w:ascii="Times New Roman" w:hAnsi="Times New Roman"/>
                <w:sz w:val="28"/>
                <w:szCs w:val="28"/>
              </w:rPr>
              <w:t>рациональное управление средствами бюджета городского округа, повышение эффективности бюджетных расходов и повышение качества планирования бюджета</w:t>
            </w:r>
          </w:p>
        </w:tc>
      </w:tr>
      <w:tr w:rsidR="00995BE0" w:rsidRPr="006A5DC9" w:rsidTr="00B364B2">
        <w:tc>
          <w:tcPr>
            <w:tcW w:w="14786" w:type="dxa"/>
            <w:gridSpan w:val="2"/>
          </w:tcPr>
          <w:p w:rsidR="00995BE0" w:rsidRPr="00B41C35" w:rsidRDefault="00995BE0" w:rsidP="00995BE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B41C35">
              <w:rPr>
                <w:sz w:val="28"/>
                <w:szCs w:val="28"/>
              </w:rPr>
              <w:t>Показатели решения задач Программы</w:t>
            </w:r>
          </w:p>
        </w:tc>
      </w:tr>
      <w:tr w:rsidR="00995BE0" w:rsidRPr="006A5DC9" w:rsidTr="002652A0">
        <w:tc>
          <w:tcPr>
            <w:tcW w:w="7393" w:type="dxa"/>
          </w:tcPr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отклонение показателей утвержденного бюджета города на очередной финансовый год от показателей бюджетного прогноза, сформированного в предшествующем периоде;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отклонение фактического объема доходов бюджета города без учета безвозмездных поступлений от </w:t>
            </w:r>
            <w:proofErr w:type="gramStart"/>
            <w:r w:rsidRPr="00B41C35">
              <w:rPr>
                <w:rFonts w:ascii="Times New Roman" w:hAnsi="Times New Roman"/>
                <w:sz w:val="28"/>
                <w:szCs w:val="28"/>
              </w:rPr>
              <w:t>параметров</w:t>
            </w:r>
            <w:proofErr w:type="gramEnd"/>
            <w:r w:rsidRPr="00B41C35">
              <w:rPr>
                <w:rFonts w:ascii="Times New Roman" w:hAnsi="Times New Roman"/>
                <w:sz w:val="28"/>
                <w:szCs w:val="28"/>
              </w:rPr>
              <w:t xml:space="preserve"> первоначально утвержденного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отношение недоимки по налогам, зачисляемым в бюджет города, к сумме налоговых доходов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доля налоговых и неналоговых доходов бюджета города (за исключением поступлений налоговых доходов по дополнительным нормативам отчислений) в общем объеме собственных доходов бюджета города (без учета субвенций);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удельный вес расходов бюджета города, формируемых в рамках муниципальных программ, в общем объеме расходов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отношение объема просроченной кредиторской задолженности, сложившейся по расходам бюджета города, к общему объему расходов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доля главных администраторов средств бюджета города, показавших положительную динамику оценки качества финансового менеджмента;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доля главных распорядителей средств бюджета города, предоставивших обоснования бюджетных ассигнований с указанием раздельно бюджетных ассигнований на </w:t>
            </w: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исполнение действующих и принимаемых обязательств;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уровень достижения целевых значений показателей, предусмотренных в дорожной карте Ставропольского края, по соотношению средней заработной платы работников учреждений культуры и педагогических работников муниципальных учреждений  дополнительного образования детей к средней заработной плате в Ставропольском крае;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расходы бюджета города на содержание работников органов местного самоуправления в расчете на одного жителя муниципального образования города Ставрополя Ставропольского края;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отношение объема муниципального долга города Ставрополя (далее – муниципальный долг) к общему годовому объему доходов бюджета города (без учета утвержденного объема безвозмездных поступлений);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доля расходов на обслуживание муниципального долга в общем объеме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отношение годовой суммы платежей по погашению и обслуживанию муниципального долга к общей сумме доходов бюджета города (без учета утвержденного объема безвозмездных поступлений) и дотаций из бюджетов бюджетной системы Российской Федерации;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соотношение количества проверок, по результатам </w:t>
            </w: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ежемесячное размещение на официальном сайте администрации города Ставрополя в информационно-телекоммуникационной сети «Интернет» информации об исполнении бюджета города;</w:t>
            </w:r>
          </w:p>
          <w:p w:rsidR="00995BE0" w:rsidRPr="00B41C35" w:rsidRDefault="00995BE0" w:rsidP="00A7270F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41C35">
              <w:rPr>
                <w:rFonts w:ascii="Times New Roman" w:hAnsi="Times New Roman"/>
                <w:sz w:val="28"/>
                <w:szCs w:val="28"/>
              </w:rPr>
              <w:t xml:space="preserve">доля показателей, отраженных в  информационном отчете «Бюджет для граждан», размещенном на официальном сайте администрации города Ставрополя в информационно-телекоммуникационной сети «Интернет», в составе показателей, определенных  методическими </w:t>
            </w:r>
            <w:hyperlink r:id="rId7" w:history="1">
              <w:r w:rsidRPr="00B41C35">
                <w:rPr>
                  <w:rFonts w:ascii="Times New Roman" w:hAnsi="Times New Roman"/>
                  <w:sz w:val="28"/>
                  <w:szCs w:val="28"/>
                </w:rPr>
                <w:t>рекомендациями</w:t>
              </w:r>
            </w:hyperlink>
            <w:r w:rsidRPr="00B41C35">
              <w:rPr>
                <w:rFonts w:ascii="Times New Roman" w:hAnsi="Times New Roman"/>
                <w:sz w:val="28"/>
                <w:szCs w:val="28"/>
              </w:rPr>
              <w:t xml:space="preserve"> по представлению бюджетов субъектов Российской Федерации и местных бюджетов и отчетов об их исполнении в доступной для граждан форме, утвержденными приказом Министерства Финансов Российской Федерации от 22 сентября 2015  № 145н</w:t>
            </w:r>
            <w:proofErr w:type="gramEnd"/>
          </w:p>
        </w:tc>
        <w:tc>
          <w:tcPr>
            <w:tcW w:w="7393" w:type="dxa"/>
          </w:tcPr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отклонение показателей утвержденного бюджета города на очередной финансовый год от показателей бюджетного прогноза, сформированного в предшествующем периоде;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отклонение фактического объема доходов бюджета города без учета безвозмездных поступлений от </w:t>
            </w:r>
            <w:proofErr w:type="gramStart"/>
            <w:r w:rsidRPr="00B41C35">
              <w:rPr>
                <w:rFonts w:ascii="Times New Roman" w:hAnsi="Times New Roman"/>
                <w:sz w:val="28"/>
                <w:szCs w:val="28"/>
              </w:rPr>
              <w:t>параметров</w:t>
            </w:r>
            <w:proofErr w:type="gramEnd"/>
            <w:r w:rsidRPr="00B41C35">
              <w:rPr>
                <w:rFonts w:ascii="Times New Roman" w:hAnsi="Times New Roman"/>
                <w:sz w:val="28"/>
                <w:szCs w:val="28"/>
              </w:rPr>
              <w:t xml:space="preserve"> первоначально утвержденного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отношение недоимки по налогам, зачисляемым в бюджет города, к сумме налоговых доходов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доля налоговых и неналоговых доходов бюджета города (за исключением поступлений налоговых доходов по дополнительным нормативам отчислений) в общем объеме собственных доходов бюджета города (без учета субвенций);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удельный вес расходов бюджета города, формируемых в рамках муниципальных программ, в общем объеме расходов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отношение объема просроченной кредиторской задолженности, сложившейся по расходам бюджета города, к общему объему расходов бюджета города;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доля главных администраторов средств бюджета города, показавших положительную динамику оценки качества финансового менеджмента;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доля главных распорядителей средств бюджета города, предоставивших обоснования бюджетных ассигнований с указанием раздельно бюджетных ассигнований на </w:t>
            </w: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исполнение действующих и принимаемых обязательств;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уровень достижения целевых значений показателей, предусмотренных в дорожной карте Ставропольского края, по соотношению средней заработной платы работников учреждений культуры и педагогических работников муниципальных учреждений  дополнительного образования детей к средней заработной плате в Ставропольском крае;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расходы бюджета города на содержание работников органов местного самоуправления в расчете на одного жителя муниципального образования города Ставрополя Ставропольского края;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отношение объема муниципального долга города Ставрополя (далее – муниципальный долг) к общему годовому объему доходов бюджета города (без учета утвержденного объема безвозмездных поступлений);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доля расходов на обслуживание муниципального долга в общем объеме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отношение годовой суммы платежей по погашению и обслуживанию муниципального долга к общей сумме доходов бюджета города (без учета утвержденного объема безвозмездных поступлений) и дотаций из бюджетов бюджетной системы Российской Федерации;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соотношение количества проверок, по результатам </w:t>
            </w: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ежемесячное размещение на официальном сайте администрации города Ставрополя в информационно-телекоммуникационной сети «Интернет» информации об исполнении бюджета города;</w:t>
            </w:r>
          </w:p>
          <w:p w:rsidR="00995BE0" w:rsidRPr="00B41C35" w:rsidRDefault="00995BE0" w:rsidP="00A7270F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41C35">
              <w:rPr>
                <w:rFonts w:ascii="Times New Roman" w:hAnsi="Times New Roman"/>
                <w:sz w:val="28"/>
                <w:szCs w:val="28"/>
              </w:rPr>
              <w:t xml:space="preserve">доля показателей, отраженных в  информационном отчете «Бюджет для граждан», размещенном на официальном сайте администрации города Ставрополя в информационно-телекоммуникационной сети «Интернет», в составе показателей, определенных  методическими </w:t>
            </w:r>
            <w:hyperlink r:id="rId8" w:history="1">
              <w:r w:rsidRPr="00B41C35">
                <w:rPr>
                  <w:rFonts w:ascii="Times New Roman" w:hAnsi="Times New Roman"/>
                  <w:sz w:val="28"/>
                  <w:szCs w:val="28"/>
                </w:rPr>
                <w:t>рекомендациями</w:t>
              </w:r>
            </w:hyperlink>
            <w:r w:rsidRPr="00B41C35">
              <w:rPr>
                <w:rFonts w:ascii="Times New Roman" w:hAnsi="Times New Roman"/>
                <w:sz w:val="28"/>
                <w:szCs w:val="28"/>
              </w:rPr>
              <w:t xml:space="preserve"> по представлению бюджетов субъектов Российской Федерации и местных бюджетов и отчетов об их исполнении в доступной для граждан форме, утвержденными приказом Министерства Финансов Российской</w:t>
            </w:r>
            <w:r w:rsidR="00A7270F">
              <w:rPr>
                <w:rFonts w:ascii="Times New Roman" w:hAnsi="Times New Roman"/>
                <w:sz w:val="28"/>
                <w:szCs w:val="28"/>
              </w:rPr>
              <w:t xml:space="preserve"> Федерации</w:t>
            </w:r>
            <w:r w:rsidRPr="00B41C35">
              <w:rPr>
                <w:rFonts w:ascii="Times New Roman" w:hAnsi="Times New Roman"/>
                <w:sz w:val="28"/>
                <w:szCs w:val="28"/>
              </w:rPr>
              <w:t xml:space="preserve"> от 22 сентября 2015  № 145н</w:t>
            </w:r>
            <w:proofErr w:type="gramEnd"/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</w:tr>
      <w:tr w:rsidR="00796F63" w:rsidRPr="006A5DC9" w:rsidTr="002652A0">
        <w:tc>
          <w:tcPr>
            <w:tcW w:w="7393" w:type="dxa"/>
          </w:tcPr>
          <w:p w:rsidR="00796F63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2020 - 2025 годы</w:t>
            </w:r>
          </w:p>
        </w:tc>
        <w:tc>
          <w:tcPr>
            <w:tcW w:w="7393" w:type="dxa"/>
          </w:tcPr>
          <w:p w:rsidR="00796F63" w:rsidRPr="00995BE0" w:rsidRDefault="002C680A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2020 - 2025 годы</w:t>
            </w:r>
          </w:p>
        </w:tc>
      </w:tr>
      <w:tr w:rsidR="006A5DC9" w:rsidRPr="006A5DC9" w:rsidTr="002652A0">
        <w:tc>
          <w:tcPr>
            <w:tcW w:w="14786" w:type="dxa"/>
            <w:gridSpan w:val="2"/>
          </w:tcPr>
          <w:p w:rsidR="006A5DC9" w:rsidRPr="006A5DC9" w:rsidRDefault="006A5DC9" w:rsidP="00995BE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</w:tr>
      <w:tr w:rsidR="006A5DC9" w:rsidRPr="006A5DC9" w:rsidTr="002652A0">
        <w:tc>
          <w:tcPr>
            <w:tcW w:w="7393" w:type="dxa"/>
          </w:tcPr>
          <w:p w:rsidR="00995BE0" w:rsidRPr="00802F7C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02F7C">
              <w:rPr>
                <w:rFonts w:ascii="Times New Roman" w:hAnsi="Times New Roman"/>
                <w:sz w:val="28"/>
                <w:szCs w:val="28"/>
              </w:rPr>
              <w:t>общий объем бюджетных ассигнований за счет средств бюджета города на реализацию Программы составляет 1 146 783,00 тыс. рублей, в том числе по годам:</w:t>
            </w:r>
          </w:p>
          <w:p w:rsidR="00995BE0" w:rsidRPr="00802F7C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02F7C">
              <w:rPr>
                <w:rFonts w:ascii="Times New Roman" w:hAnsi="Times New Roman"/>
                <w:sz w:val="28"/>
                <w:szCs w:val="28"/>
              </w:rPr>
              <w:lastRenderedPageBreak/>
              <w:t>2020 год – 118 400,00 тыс. рублей;</w:t>
            </w:r>
          </w:p>
          <w:p w:rsidR="00995BE0" w:rsidRPr="00802F7C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02F7C">
              <w:rPr>
                <w:rFonts w:ascii="Times New Roman" w:hAnsi="Times New Roman"/>
                <w:sz w:val="28"/>
                <w:szCs w:val="28"/>
              </w:rPr>
              <w:t>2021 год – 156 800,00 тыс. рублей;</w:t>
            </w:r>
          </w:p>
          <w:p w:rsidR="00995BE0" w:rsidRPr="00802F7C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02F7C">
              <w:rPr>
                <w:rFonts w:ascii="Times New Roman" w:hAnsi="Times New Roman"/>
                <w:sz w:val="28"/>
                <w:szCs w:val="28"/>
              </w:rPr>
              <w:t>2022 год – 187 000,00 тыс. рублей;</w:t>
            </w:r>
          </w:p>
          <w:p w:rsidR="00995BE0" w:rsidRPr="00802F7C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02F7C">
              <w:rPr>
                <w:rFonts w:ascii="Times New Roman" w:hAnsi="Times New Roman"/>
                <w:sz w:val="28"/>
                <w:szCs w:val="28"/>
              </w:rPr>
              <w:t>2023 год – 214 000,00 тыс. рублей;</w:t>
            </w:r>
          </w:p>
          <w:p w:rsidR="00995BE0" w:rsidRPr="00802F7C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02F7C">
              <w:rPr>
                <w:rFonts w:ascii="Times New Roman" w:hAnsi="Times New Roman"/>
                <w:sz w:val="28"/>
                <w:szCs w:val="28"/>
              </w:rPr>
              <w:t>2024 год – 228 061,00 тыс. рублей;</w:t>
            </w:r>
          </w:p>
          <w:p w:rsidR="006A5DC9" w:rsidRPr="006A5DC9" w:rsidRDefault="00995BE0" w:rsidP="00A7270F">
            <w:pPr>
              <w:spacing w:after="0" w:line="238" w:lineRule="auto"/>
              <w:ind w:firstLine="176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02F7C">
              <w:rPr>
                <w:rFonts w:ascii="Times New Roman" w:hAnsi="Times New Roman"/>
                <w:sz w:val="28"/>
                <w:szCs w:val="28"/>
              </w:rPr>
              <w:t>2025 год – 242 522,00 тыс. рублей</w:t>
            </w:r>
          </w:p>
        </w:tc>
        <w:tc>
          <w:tcPr>
            <w:tcW w:w="7393" w:type="dxa"/>
          </w:tcPr>
          <w:p w:rsidR="00995BE0" w:rsidRPr="00A662C8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662C8">
              <w:rPr>
                <w:rFonts w:ascii="Times New Roman" w:hAnsi="Times New Roman"/>
                <w:sz w:val="28"/>
                <w:szCs w:val="28"/>
              </w:rPr>
              <w:lastRenderedPageBreak/>
              <w:t>общий объем бюджетных ассигнований за счет средств бюджета города на реализацию Программы составляет 1 158 218,56 тыс. рублей, в том числе по годам:</w:t>
            </w:r>
          </w:p>
          <w:p w:rsidR="00995BE0" w:rsidRPr="00A662C8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662C8">
              <w:rPr>
                <w:rFonts w:ascii="Times New Roman" w:hAnsi="Times New Roman"/>
                <w:sz w:val="28"/>
                <w:szCs w:val="28"/>
              </w:rPr>
              <w:lastRenderedPageBreak/>
              <w:t>2020 год – 118 400,00 тыс. рублей;</w:t>
            </w:r>
          </w:p>
          <w:p w:rsidR="00995BE0" w:rsidRPr="00A662C8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662C8">
              <w:rPr>
                <w:rFonts w:ascii="Times New Roman" w:hAnsi="Times New Roman"/>
                <w:sz w:val="28"/>
                <w:szCs w:val="28"/>
              </w:rPr>
              <w:t>2021 год – 156 800,00 тыс. рублей;</w:t>
            </w:r>
          </w:p>
          <w:p w:rsidR="00995BE0" w:rsidRPr="00A662C8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662C8">
              <w:rPr>
                <w:rFonts w:ascii="Times New Roman" w:hAnsi="Times New Roman"/>
                <w:sz w:val="28"/>
                <w:szCs w:val="28"/>
              </w:rPr>
              <w:t>2022 год – 208 368,83 тыс. рублей;</w:t>
            </w:r>
          </w:p>
          <w:p w:rsidR="00995BE0" w:rsidRPr="00A662C8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662C8">
              <w:rPr>
                <w:rFonts w:ascii="Times New Roman" w:hAnsi="Times New Roman"/>
                <w:sz w:val="28"/>
                <w:szCs w:val="28"/>
              </w:rPr>
              <w:t>2023 год – 218 527,73 тыс. рублей;</w:t>
            </w:r>
          </w:p>
          <w:p w:rsidR="00995BE0" w:rsidRPr="00A662C8" w:rsidRDefault="00995BE0" w:rsidP="00995BE0">
            <w:pPr>
              <w:spacing w:after="0" w:line="238" w:lineRule="auto"/>
              <w:ind w:firstLine="17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662C8">
              <w:rPr>
                <w:rFonts w:ascii="Times New Roman" w:hAnsi="Times New Roman"/>
                <w:sz w:val="28"/>
                <w:szCs w:val="28"/>
              </w:rPr>
              <w:t>2024 год – 228 061,00 тыс. рублей;</w:t>
            </w:r>
          </w:p>
          <w:p w:rsidR="006A5DC9" w:rsidRPr="002E298D" w:rsidRDefault="00995BE0" w:rsidP="00A7270F">
            <w:pPr>
              <w:spacing w:after="0" w:line="238" w:lineRule="auto"/>
              <w:ind w:firstLine="176"/>
              <w:jc w:val="both"/>
              <w:outlineLvl w:val="2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662C8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425495" w:rsidRPr="00425495">
              <w:rPr>
                <w:rFonts w:ascii="Times New Roman" w:hAnsi="Times New Roman"/>
                <w:sz w:val="28"/>
                <w:szCs w:val="28"/>
              </w:rPr>
              <w:t>242</w:t>
            </w:r>
            <w:r w:rsidR="004254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495" w:rsidRPr="00425495">
              <w:rPr>
                <w:rFonts w:ascii="Times New Roman" w:hAnsi="Times New Roman"/>
                <w:sz w:val="28"/>
                <w:szCs w:val="28"/>
              </w:rPr>
              <w:t>522,00</w:t>
            </w:r>
            <w:r w:rsidR="00425495" w:rsidRPr="00A662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62C8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6A5DC9" w:rsidRPr="006A5DC9" w:rsidTr="002652A0">
        <w:tc>
          <w:tcPr>
            <w:tcW w:w="14786" w:type="dxa"/>
            <w:gridSpan w:val="2"/>
          </w:tcPr>
          <w:p w:rsidR="006A5DC9" w:rsidRPr="006A5DC9" w:rsidRDefault="006A5DC9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</w:tr>
      <w:tr w:rsidR="006A5DC9" w:rsidRPr="006A5DC9" w:rsidTr="002652A0">
        <w:tc>
          <w:tcPr>
            <w:tcW w:w="7393" w:type="dxa"/>
          </w:tcPr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сохранение темпа роста налоговых и неналоговых  доходов бюджета города (в сопоставимых условиях) к уровню предыдущего года в 2020 - 2025 годах не ниже 103,0 процентов;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увеличение значения коэффициента покрытия расходов бюджета города собственными средствами без привлечения заемных средств с 0,9091 в 2020 году до 0,9105 в 2025 году;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сохранение удельного веса расходов бюджета города, формируемых в рамках муниципальных программ, в общем объеме расходов бюджета города, в 2020 – 2025 годах не ниже 90 процентов;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сохранение рейтинга города Ставрополя по качеству управления муниципальными финансами в 2020 -                2025 годах не ниже II степени качества управления муниципальными финансами; 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поддержание доли просроченной кредиторской задолженности в общем объеме расходов бюджета города не более 0,01 процента; 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сохранение города Ставрополя в 2020 – 2025 годах в группе муниципальных образований со средней долговой устойчивостью по результатам оценки долговой устойчивости;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повышение эффективности внутреннего муниципального финансового контроля;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обеспечение законности и эффективности </w:t>
            </w:r>
            <w:r w:rsidRPr="00995B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1C35">
              <w:rPr>
                <w:rFonts w:ascii="Times New Roman" w:hAnsi="Times New Roman"/>
                <w:sz w:val="28"/>
                <w:szCs w:val="28"/>
              </w:rPr>
              <w:t>использования бюджетных средств;</w:t>
            </w:r>
          </w:p>
          <w:p w:rsidR="006A5DC9" w:rsidRPr="006A5DC9" w:rsidRDefault="00995BE0" w:rsidP="00A7270F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доступность для граждан информации  о бюджете города</w:t>
            </w:r>
          </w:p>
        </w:tc>
        <w:tc>
          <w:tcPr>
            <w:tcW w:w="7393" w:type="dxa"/>
          </w:tcPr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сохранение темпа роста налоговых и неналоговых  доходов бюджета города (в сопоставимых условиях) к уровню предыдущего года в 2020 - 2025 годах не ниже 103,0 процентов;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увеличение значения коэффициента покрытия расходов бюджета города собственными средствами без привлечения заемных средств с 0,9091 в 2020 году до 0,9105 в 2025 году;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сохранение удельного веса расходов бюджета города, формируемых в рамках муниципальных программ, в общем объеме расходов бюджета города, в 2020 – 2025 годах не ниже 90 процентов;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сохранение рейтинга города Ставрополя по качеству управления муниципальными финансами в 2020 -                2025 годах не ниже II степени качества управления муниципальными финансами; 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 xml:space="preserve">поддержание доли просроченной кредиторской задолженности в общем объеме расходов бюджета города не более 0,01 процента; </w:t>
            </w:r>
          </w:p>
          <w:p w:rsidR="00995BE0" w:rsidRPr="00B41C35" w:rsidRDefault="00995BE0" w:rsidP="00995BE0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lastRenderedPageBreak/>
              <w:t>сохранение города Ставрополя в 2020 – 2025 годах в группе муниципальных образований со средней долговой устойчивостью по результатам оценки долговой устойчивости;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повышение эффективности внутреннего муниципального финансового контроля;</w:t>
            </w:r>
          </w:p>
          <w:p w:rsidR="00995BE0" w:rsidRPr="00B41C35" w:rsidRDefault="00995BE0" w:rsidP="00995BE0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обеспечение законности и эффективности </w:t>
            </w:r>
            <w:r w:rsidRPr="00995B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1C35">
              <w:rPr>
                <w:rFonts w:ascii="Times New Roman" w:hAnsi="Times New Roman"/>
                <w:sz w:val="28"/>
                <w:szCs w:val="28"/>
              </w:rPr>
              <w:t>использования бюджетных средств;</w:t>
            </w:r>
          </w:p>
          <w:p w:rsidR="006A5DC9" w:rsidRPr="006A5DC9" w:rsidRDefault="00995BE0" w:rsidP="00A7270F">
            <w:pPr>
              <w:spacing w:after="0" w:line="240" w:lineRule="auto"/>
              <w:ind w:left="2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41C35">
              <w:rPr>
                <w:rFonts w:ascii="Times New Roman" w:hAnsi="Times New Roman"/>
                <w:sz w:val="28"/>
                <w:szCs w:val="28"/>
              </w:rPr>
              <w:t>доступность для граждан информации  о бюджете города</w:t>
            </w:r>
          </w:p>
        </w:tc>
      </w:tr>
    </w:tbl>
    <w:p w:rsidR="008C49B1" w:rsidRPr="006A5DC9" w:rsidRDefault="008C49B1" w:rsidP="00D01D6E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6A5DC9" w:rsidSect="009972EB">
      <w:headerReference w:type="default" r:id="rId9"/>
      <w:pgSz w:w="16838" w:h="11906" w:orient="landscape"/>
      <w:pgMar w:top="1985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79D" w:rsidRDefault="0077779D" w:rsidP="009972EB">
      <w:pPr>
        <w:spacing w:after="0" w:line="240" w:lineRule="auto"/>
      </w:pPr>
      <w:r>
        <w:separator/>
      </w:r>
    </w:p>
  </w:endnote>
  <w:endnote w:type="continuationSeparator" w:id="0">
    <w:p w:rsidR="0077779D" w:rsidRDefault="0077779D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79D" w:rsidRDefault="0077779D" w:rsidP="009972EB">
      <w:pPr>
        <w:spacing w:after="0" w:line="240" w:lineRule="auto"/>
      </w:pPr>
      <w:r>
        <w:separator/>
      </w:r>
    </w:p>
  </w:footnote>
  <w:footnote w:type="continuationSeparator" w:id="0">
    <w:p w:rsidR="0077779D" w:rsidRDefault="0077779D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73422E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E52851">
      <w:rPr>
        <w:rFonts w:ascii="Times New Roman" w:hAnsi="Times New Roman"/>
        <w:noProof/>
        <w:sz w:val="28"/>
        <w:szCs w:val="28"/>
      </w:rPr>
      <w:t>6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563A3"/>
    <w:rsid w:val="0006728A"/>
    <w:rsid w:val="000769BA"/>
    <w:rsid w:val="000C34E3"/>
    <w:rsid w:val="000F2DC0"/>
    <w:rsid w:val="000F428A"/>
    <w:rsid w:val="00105D23"/>
    <w:rsid w:val="00110300"/>
    <w:rsid w:val="00134A2A"/>
    <w:rsid w:val="00163158"/>
    <w:rsid w:val="00163AE2"/>
    <w:rsid w:val="00170C45"/>
    <w:rsid w:val="001D2057"/>
    <w:rsid w:val="001D2F50"/>
    <w:rsid w:val="001D5424"/>
    <w:rsid w:val="001D586E"/>
    <w:rsid w:val="001E0BAE"/>
    <w:rsid w:val="00203201"/>
    <w:rsid w:val="002147E5"/>
    <w:rsid w:val="00217772"/>
    <w:rsid w:val="002201C1"/>
    <w:rsid w:val="0024027A"/>
    <w:rsid w:val="002474E2"/>
    <w:rsid w:val="00256FCA"/>
    <w:rsid w:val="002652A0"/>
    <w:rsid w:val="002A5AE6"/>
    <w:rsid w:val="002A648B"/>
    <w:rsid w:val="002B5332"/>
    <w:rsid w:val="002C4B62"/>
    <w:rsid w:val="002C52C0"/>
    <w:rsid w:val="002C680A"/>
    <w:rsid w:val="002D20D1"/>
    <w:rsid w:val="002E298D"/>
    <w:rsid w:val="002E539B"/>
    <w:rsid w:val="0031091D"/>
    <w:rsid w:val="00346EDF"/>
    <w:rsid w:val="003640AA"/>
    <w:rsid w:val="003729E8"/>
    <w:rsid w:val="00386CEB"/>
    <w:rsid w:val="00387301"/>
    <w:rsid w:val="0039664B"/>
    <w:rsid w:val="003A3961"/>
    <w:rsid w:val="003A5F56"/>
    <w:rsid w:val="003C5029"/>
    <w:rsid w:val="003D5EDA"/>
    <w:rsid w:val="003F71AD"/>
    <w:rsid w:val="0041627F"/>
    <w:rsid w:val="00425495"/>
    <w:rsid w:val="00444C59"/>
    <w:rsid w:val="00450832"/>
    <w:rsid w:val="0045561D"/>
    <w:rsid w:val="0045755A"/>
    <w:rsid w:val="00461803"/>
    <w:rsid w:val="0049543B"/>
    <w:rsid w:val="00496043"/>
    <w:rsid w:val="004B2004"/>
    <w:rsid w:val="004B41E5"/>
    <w:rsid w:val="004C6B42"/>
    <w:rsid w:val="004E150A"/>
    <w:rsid w:val="004F293A"/>
    <w:rsid w:val="00502EBE"/>
    <w:rsid w:val="005151AC"/>
    <w:rsid w:val="0052399A"/>
    <w:rsid w:val="00550014"/>
    <w:rsid w:val="00555BDC"/>
    <w:rsid w:val="00561785"/>
    <w:rsid w:val="00563B98"/>
    <w:rsid w:val="005656C1"/>
    <w:rsid w:val="0058333B"/>
    <w:rsid w:val="00586441"/>
    <w:rsid w:val="00587A63"/>
    <w:rsid w:val="005B3729"/>
    <w:rsid w:val="005B4005"/>
    <w:rsid w:val="005D0ADE"/>
    <w:rsid w:val="005D4166"/>
    <w:rsid w:val="005D6FB5"/>
    <w:rsid w:val="005F24B2"/>
    <w:rsid w:val="005F5343"/>
    <w:rsid w:val="006149EE"/>
    <w:rsid w:val="0065102E"/>
    <w:rsid w:val="00655C43"/>
    <w:rsid w:val="00672D86"/>
    <w:rsid w:val="00697837"/>
    <w:rsid w:val="006A37D3"/>
    <w:rsid w:val="006A5DC9"/>
    <w:rsid w:val="006B071C"/>
    <w:rsid w:val="006B1F55"/>
    <w:rsid w:val="006B4E7D"/>
    <w:rsid w:val="006B7529"/>
    <w:rsid w:val="006C2366"/>
    <w:rsid w:val="006D5131"/>
    <w:rsid w:val="006F2065"/>
    <w:rsid w:val="006F30CB"/>
    <w:rsid w:val="007129F1"/>
    <w:rsid w:val="00722897"/>
    <w:rsid w:val="00726380"/>
    <w:rsid w:val="00733CE0"/>
    <w:rsid w:val="0073422E"/>
    <w:rsid w:val="00771287"/>
    <w:rsid w:val="0077779D"/>
    <w:rsid w:val="00796F63"/>
    <w:rsid w:val="007B5F81"/>
    <w:rsid w:val="007C063B"/>
    <w:rsid w:val="007C1285"/>
    <w:rsid w:val="007C52ED"/>
    <w:rsid w:val="007D0225"/>
    <w:rsid w:val="007D0A18"/>
    <w:rsid w:val="007D4A6B"/>
    <w:rsid w:val="007E1A7B"/>
    <w:rsid w:val="007F147C"/>
    <w:rsid w:val="0080516F"/>
    <w:rsid w:val="00823FC0"/>
    <w:rsid w:val="00827FEA"/>
    <w:rsid w:val="00866C0B"/>
    <w:rsid w:val="008839F8"/>
    <w:rsid w:val="008A7978"/>
    <w:rsid w:val="008C49B1"/>
    <w:rsid w:val="008C52C1"/>
    <w:rsid w:val="008D69B6"/>
    <w:rsid w:val="00925B9C"/>
    <w:rsid w:val="009506F0"/>
    <w:rsid w:val="00950A30"/>
    <w:rsid w:val="009550A7"/>
    <w:rsid w:val="00960005"/>
    <w:rsid w:val="00970E9A"/>
    <w:rsid w:val="00980D5F"/>
    <w:rsid w:val="00995BE0"/>
    <w:rsid w:val="009972EB"/>
    <w:rsid w:val="009A7025"/>
    <w:rsid w:val="009B013B"/>
    <w:rsid w:val="009B1AB5"/>
    <w:rsid w:val="009D5E7F"/>
    <w:rsid w:val="009F3FEE"/>
    <w:rsid w:val="009F7259"/>
    <w:rsid w:val="009F7428"/>
    <w:rsid w:val="009F7B5E"/>
    <w:rsid w:val="00A057DC"/>
    <w:rsid w:val="00A05B64"/>
    <w:rsid w:val="00A15263"/>
    <w:rsid w:val="00A24877"/>
    <w:rsid w:val="00A60A34"/>
    <w:rsid w:val="00A62BFF"/>
    <w:rsid w:val="00A662C8"/>
    <w:rsid w:val="00A7270F"/>
    <w:rsid w:val="00AA6EE6"/>
    <w:rsid w:val="00AB3075"/>
    <w:rsid w:val="00AC742C"/>
    <w:rsid w:val="00AE1765"/>
    <w:rsid w:val="00AE2F24"/>
    <w:rsid w:val="00AE344F"/>
    <w:rsid w:val="00AE380B"/>
    <w:rsid w:val="00AE4F7B"/>
    <w:rsid w:val="00AF3136"/>
    <w:rsid w:val="00AF5715"/>
    <w:rsid w:val="00B04DD6"/>
    <w:rsid w:val="00B850E9"/>
    <w:rsid w:val="00B86225"/>
    <w:rsid w:val="00BA0565"/>
    <w:rsid w:val="00BA4622"/>
    <w:rsid w:val="00BA48D9"/>
    <w:rsid w:val="00BC48EF"/>
    <w:rsid w:val="00BF379A"/>
    <w:rsid w:val="00BF6D9D"/>
    <w:rsid w:val="00C434B2"/>
    <w:rsid w:val="00C51178"/>
    <w:rsid w:val="00C6197C"/>
    <w:rsid w:val="00C871C2"/>
    <w:rsid w:val="00C901A3"/>
    <w:rsid w:val="00CA3476"/>
    <w:rsid w:val="00D01D6E"/>
    <w:rsid w:val="00D10967"/>
    <w:rsid w:val="00D137AB"/>
    <w:rsid w:val="00D2183B"/>
    <w:rsid w:val="00D24433"/>
    <w:rsid w:val="00D27CF7"/>
    <w:rsid w:val="00D82861"/>
    <w:rsid w:val="00D9138B"/>
    <w:rsid w:val="00D928A0"/>
    <w:rsid w:val="00DA445E"/>
    <w:rsid w:val="00DE5E55"/>
    <w:rsid w:val="00E02B0B"/>
    <w:rsid w:val="00E23693"/>
    <w:rsid w:val="00E27D52"/>
    <w:rsid w:val="00E310D2"/>
    <w:rsid w:val="00E42A59"/>
    <w:rsid w:val="00E46E0D"/>
    <w:rsid w:val="00E52851"/>
    <w:rsid w:val="00E54A17"/>
    <w:rsid w:val="00E805FA"/>
    <w:rsid w:val="00E8363E"/>
    <w:rsid w:val="00EA2FE8"/>
    <w:rsid w:val="00EA41EE"/>
    <w:rsid w:val="00EB5A83"/>
    <w:rsid w:val="00ED21B4"/>
    <w:rsid w:val="00ED305D"/>
    <w:rsid w:val="00EE5968"/>
    <w:rsid w:val="00EF4D6C"/>
    <w:rsid w:val="00F00B76"/>
    <w:rsid w:val="00F66C0C"/>
    <w:rsid w:val="00F76938"/>
    <w:rsid w:val="00FE281A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B6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Subtitle"/>
    <w:basedOn w:val="a"/>
    <w:link w:val="ac"/>
    <w:qFormat/>
    <w:locked/>
    <w:rsid w:val="00105D23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105D23"/>
    <w:rPr>
      <w:rFonts w:ascii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DC5887B61642897A045730DA529E7EE0520E352A5C1FDA2926727EE79C1ACE804F3982E3F4FC5BxF7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DC5887B61642897A045730DA529E7EE0520E352A5C1FDA2926727EE79C1ACE804F3982E3F4FC5BxF70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A26DF-A972-4C03-BFEE-DB40415F9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1575</Words>
  <Characters>12043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YI.Kovalenko</cp:lastModifiedBy>
  <cp:revision>2</cp:revision>
  <cp:lastPrinted>2018-11-14T12:52:00Z</cp:lastPrinted>
  <dcterms:created xsi:type="dcterms:W3CDTF">2021-11-08T08:30:00Z</dcterms:created>
  <dcterms:modified xsi:type="dcterms:W3CDTF">2021-11-08T08:30:00Z</dcterms:modified>
</cp:coreProperties>
</file>